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B8B6" w14:textId="77777777" w:rsidR="00093106" w:rsidRDefault="00A96FF2">
      <w:pPr>
        <w:spacing w:after="40"/>
        <w:jc w:val="center"/>
      </w:pPr>
      <w:r>
        <w:rPr>
          <w:b/>
          <w:bCs/>
          <w:color w:val="2E4057"/>
          <w:sz w:val="36"/>
          <w:szCs w:val="36"/>
        </w:rPr>
        <w:t>COURTNEY MacDONALD</w:t>
      </w:r>
    </w:p>
    <w:p w14:paraId="575714CD" w14:textId="77777777" w:rsidR="00093106" w:rsidRDefault="00A96FF2">
      <w:pPr>
        <w:spacing w:after="160"/>
        <w:jc w:val="center"/>
      </w:pPr>
      <w:r>
        <w:rPr>
          <w:color w:val="444444"/>
        </w:rPr>
        <w:t>Philadelphia, PA  |  courtkinnevy@gmail.com  |  (215) 607-5664</w:t>
      </w:r>
    </w:p>
    <w:p w14:paraId="42C5F1E3" w14:textId="77777777" w:rsidR="00093106" w:rsidRDefault="00A96FF2">
      <w:pPr>
        <w:pBdr>
          <w:bottom w:val="single" w:sz="4" w:space="1" w:color="2E4057"/>
        </w:pBdr>
        <w:spacing w:before="200" w:after="60"/>
      </w:pPr>
      <w:r>
        <w:rPr>
          <w:b/>
          <w:bCs/>
          <w:color w:val="2E4057"/>
          <w:sz w:val="24"/>
          <w:szCs w:val="24"/>
        </w:rPr>
        <w:t>PROFESSIONAL SUMMARY</w:t>
      </w:r>
    </w:p>
    <w:p w14:paraId="3EDD5D25" w14:textId="77777777" w:rsidR="00093106" w:rsidRDefault="00A96FF2">
      <w:pPr>
        <w:spacing w:before="80" w:after="160"/>
      </w:pPr>
      <w:r>
        <w:t>Seasoned Child Welfare professional with 17 years of specialized experience in permanency planning, adoption, and family support services with the City of Philadelphia Department of Human Services. Proven track record managing complex caseloads, collaborating with multidisciplinary teams, and successfully guiding hundreds of children and families to permanency. Adept at navigating child welfare law, court processes, and regulatory compliance. Seeking a senior-level case management or child welfare role offe</w:t>
      </w:r>
      <w:r>
        <w:t>ring continued impact and growth.</w:t>
      </w:r>
    </w:p>
    <w:p w14:paraId="4D4B1973" w14:textId="77777777" w:rsidR="00093106" w:rsidRDefault="00A96FF2">
      <w:pPr>
        <w:pBdr>
          <w:bottom w:val="single" w:sz="4" w:space="1" w:color="2E4057"/>
        </w:pBdr>
        <w:spacing w:before="200" w:after="60"/>
      </w:pPr>
      <w:r>
        <w:rPr>
          <w:b/>
          <w:bCs/>
          <w:color w:val="2E4057"/>
          <w:sz w:val="24"/>
          <w:szCs w:val="24"/>
        </w:rPr>
        <w:t>PROFESSIONAL EXPERIENCE</w:t>
      </w:r>
    </w:p>
    <w:p w14:paraId="551C35C8" w14:textId="77777777" w:rsidR="00093106" w:rsidRDefault="00A96FF2">
      <w:pPr>
        <w:spacing w:before="120" w:after="20"/>
      </w:pPr>
      <w:r>
        <w:rPr>
          <w:b/>
          <w:bCs/>
          <w:sz w:val="22"/>
          <w:szCs w:val="22"/>
        </w:rPr>
        <w:t>City of Philadelphia – Department of Human Services</w:t>
      </w:r>
    </w:p>
    <w:p w14:paraId="36480DCD" w14:textId="77777777" w:rsidR="00093106" w:rsidRDefault="00A96FF2">
      <w:pPr>
        <w:spacing w:after="20"/>
      </w:pPr>
      <w:r>
        <w:rPr>
          <w:b/>
          <w:bCs/>
          <w:i/>
          <w:iCs/>
        </w:rPr>
        <w:t>Social Work Services Manager II / Adoption Permanency Worker</w:t>
      </w:r>
      <w:r>
        <w:rPr>
          <w:color w:val="555555"/>
        </w:rPr>
        <w:t xml:space="preserve">  |  Philadelphia, PA  |  July 2008 – October 2025</w:t>
      </w:r>
    </w:p>
    <w:p w14:paraId="05464AA4" w14:textId="77777777" w:rsidR="00093106" w:rsidRDefault="00A96FF2">
      <w:pPr>
        <w:pStyle w:val="ListParagraph"/>
        <w:numPr>
          <w:ilvl w:val="0"/>
          <w:numId w:val="2"/>
        </w:numPr>
        <w:spacing w:after="60"/>
      </w:pPr>
      <w:r>
        <w:t>Managed complex caseloads supporting children and families in achieving permanency through adoption and PLC over a 17-year tenure</w:t>
      </w:r>
    </w:p>
    <w:p w14:paraId="74AA2EE5" w14:textId="77777777" w:rsidR="00093106" w:rsidRDefault="00A96FF2">
      <w:pPr>
        <w:pStyle w:val="ListParagraph"/>
        <w:numPr>
          <w:ilvl w:val="0"/>
          <w:numId w:val="2"/>
        </w:numPr>
        <w:spacing w:after="60"/>
      </w:pPr>
      <w:r>
        <w:t>Counseled families through the adoption process, ensuring informed decision-making and full compliance with legal and regulatory standards</w:t>
      </w:r>
    </w:p>
    <w:p w14:paraId="3FD605AC" w14:textId="77777777" w:rsidR="00093106" w:rsidRDefault="00A96FF2">
      <w:pPr>
        <w:pStyle w:val="ListParagraph"/>
        <w:numPr>
          <w:ilvl w:val="0"/>
          <w:numId w:val="2"/>
        </w:numPr>
        <w:spacing w:after="60"/>
      </w:pPr>
      <w:r>
        <w:t>Collaborated with interdisciplinary teams — including legal, medical, and educational professionals — to develop and implement individualized permanency plans</w:t>
      </w:r>
    </w:p>
    <w:p w14:paraId="10A46257" w14:textId="77777777" w:rsidR="00093106" w:rsidRDefault="00A96FF2">
      <w:pPr>
        <w:pStyle w:val="ListParagraph"/>
        <w:numPr>
          <w:ilvl w:val="0"/>
          <w:numId w:val="2"/>
        </w:numPr>
        <w:spacing w:after="60"/>
      </w:pPr>
      <w:r>
        <w:t>Conducted comprehensive assessments, home visits, and follow-up visits to ensure safe, stable environments for children in care</w:t>
      </w:r>
    </w:p>
    <w:p w14:paraId="0D5D68B1" w14:textId="77777777" w:rsidR="00093106" w:rsidRDefault="00A96FF2">
      <w:pPr>
        <w:pStyle w:val="ListParagraph"/>
        <w:numPr>
          <w:ilvl w:val="0"/>
          <w:numId w:val="2"/>
        </w:numPr>
        <w:spacing w:after="60"/>
      </w:pPr>
      <w:r>
        <w:t>Reviewed child and family profiles for corrections and final approval, maintaining accuracy and regulatory adherence</w:t>
      </w:r>
    </w:p>
    <w:p w14:paraId="538613E9" w14:textId="77777777" w:rsidR="00093106" w:rsidRDefault="00A96FF2">
      <w:pPr>
        <w:pStyle w:val="ListParagraph"/>
        <w:numPr>
          <w:ilvl w:val="0"/>
          <w:numId w:val="2"/>
        </w:numPr>
        <w:spacing w:after="60"/>
      </w:pPr>
      <w:r>
        <w:t>Attended Permanency Review Court hearings at the request of presiding judges and represented the agency at adoption finalization hearings</w:t>
      </w:r>
    </w:p>
    <w:p w14:paraId="59B6A1AB" w14:textId="77777777" w:rsidR="00093106" w:rsidRDefault="00A96FF2">
      <w:pPr>
        <w:pStyle w:val="ListParagraph"/>
        <w:numPr>
          <w:ilvl w:val="0"/>
          <w:numId w:val="2"/>
        </w:numPr>
        <w:spacing w:after="60"/>
      </w:pPr>
      <w:r>
        <w:t>Maintained meticulous case documentation in ECMS/PFDS in accordance with departmental and state regulations</w:t>
      </w:r>
    </w:p>
    <w:p w14:paraId="4E64F6A9" w14:textId="77777777" w:rsidR="00093106" w:rsidRDefault="00A96FF2">
      <w:pPr>
        <w:pStyle w:val="ListParagraph"/>
        <w:numPr>
          <w:ilvl w:val="0"/>
          <w:numId w:val="2"/>
        </w:numPr>
        <w:spacing w:after="60"/>
      </w:pPr>
      <w:r>
        <w:t>Successfully supported hundreds of families in achieving permanency, contributing to measurable long-term outcomes for children in the Philadelphia child welfare system</w:t>
      </w:r>
    </w:p>
    <w:p w14:paraId="12578D8F" w14:textId="77777777" w:rsidR="00093106" w:rsidRDefault="00A96FF2">
      <w:pPr>
        <w:pBdr>
          <w:bottom w:val="single" w:sz="4" w:space="1" w:color="2E4057"/>
        </w:pBdr>
        <w:spacing w:before="200" w:after="60"/>
      </w:pPr>
      <w:r>
        <w:rPr>
          <w:b/>
          <w:bCs/>
          <w:color w:val="2E4057"/>
          <w:sz w:val="24"/>
          <w:szCs w:val="24"/>
        </w:rPr>
        <w:t>EDUCATION</w:t>
      </w:r>
    </w:p>
    <w:p w14:paraId="43DE6A76" w14:textId="77777777" w:rsidR="00093106" w:rsidRDefault="00A96FF2">
      <w:pPr>
        <w:spacing w:before="100" w:after="20"/>
      </w:pPr>
      <w:r>
        <w:rPr>
          <w:b/>
          <w:bCs/>
          <w:sz w:val="22"/>
          <w:szCs w:val="22"/>
        </w:rPr>
        <w:t>Montclair State University</w:t>
      </w:r>
    </w:p>
    <w:p w14:paraId="46A6FD98" w14:textId="77777777" w:rsidR="00093106" w:rsidRDefault="00A96FF2">
      <w:pPr>
        <w:spacing w:after="120"/>
      </w:pPr>
      <w:r>
        <w:rPr>
          <w:i/>
          <w:iCs/>
        </w:rPr>
        <w:t>Bachelor of Arts, Anthropology &amp; Psychology</w:t>
      </w:r>
      <w:r>
        <w:rPr>
          <w:color w:val="555555"/>
        </w:rPr>
        <w:t xml:space="preserve">  |  Upper Montclair, NJ  |  May 2001</w:t>
      </w:r>
    </w:p>
    <w:p w14:paraId="0F5B8A10" w14:textId="77777777" w:rsidR="00093106" w:rsidRDefault="00A96FF2">
      <w:pPr>
        <w:pBdr>
          <w:bottom w:val="single" w:sz="4" w:space="1" w:color="2E4057"/>
        </w:pBdr>
        <w:spacing w:before="200" w:after="60"/>
      </w:pPr>
      <w:r>
        <w:rPr>
          <w:b/>
          <w:bCs/>
          <w:color w:val="2E4057"/>
          <w:sz w:val="24"/>
          <w:szCs w:val="24"/>
        </w:rPr>
        <w:t>CERTIFICATIONS</w:t>
      </w:r>
    </w:p>
    <w:p w14:paraId="45CC331F" w14:textId="77777777" w:rsidR="00093106" w:rsidRDefault="00A96FF2">
      <w:pPr>
        <w:spacing w:before="80" w:after="60"/>
      </w:pPr>
      <w:r>
        <w:t>Certified Direct Child Welfare Worker — University of Pittsburgh</w:t>
      </w:r>
    </w:p>
    <w:p w14:paraId="45D205A7" w14:textId="77777777" w:rsidR="00093106" w:rsidRDefault="00A96FF2">
      <w:pPr>
        <w:spacing w:after="120"/>
      </w:pPr>
      <w:r>
        <w:t>CPSL | Juvenile Act | Safety Assessment &amp; Safety Planning | Risk Assessment</w:t>
      </w:r>
    </w:p>
    <w:p w14:paraId="252FA5E5" w14:textId="77777777" w:rsidR="00093106" w:rsidRDefault="00A96FF2">
      <w:pPr>
        <w:pBdr>
          <w:bottom w:val="single" w:sz="4" w:space="1" w:color="2E4057"/>
        </w:pBdr>
        <w:spacing w:before="200" w:after="60"/>
      </w:pPr>
      <w:r>
        <w:rPr>
          <w:b/>
          <w:bCs/>
          <w:color w:val="2E4057"/>
          <w:sz w:val="24"/>
          <w:szCs w:val="24"/>
        </w:rPr>
        <w:t>CORE COMPETENCIES</w:t>
      </w:r>
    </w:p>
    <w:p w14:paraId="2FFC0DF2" w14:textId="77777777" w:rsidR="00093106" w:rsidRDefault="00A96FF2">
      <w:pPr>
        <w:spacing w:before="80" w:after="60"/>
      </w:pPr>
      <w:r>
        <w:t>Case Management  |  Permanency Planning  |  Family Assessment  |  Home Visits  |  Crisis Intervention  |  Service Plan Development  |  Child &amp; Family Welfare Policy  |  Multidisciplinary Collaboration  |  Court Process &amp; Hearings  |  ECMS/PFDS  |  SWAN  |  HUD/PHA/Section 8  |  Resource Coordination  |  Client Advocacy  |  Cultural Competency  |  Child Preparation  |  Documentation &amp; Reporting  |  MS Office  |  Community Resource Development</w:t>
      </w:r>
    </w:p>
    <w:p w14:paraId="73AFC8E3" w14:textId="77777777" w:rsidR="00093106" w:rsidRDefault="00A96FF2">
      <w:pPr>
        <w:pBdr>
          <w:bottom w:val="single" w:sz="4" w:space="1" w:color="2E4057"/>
        </w:pBdr>
        <w:spacing w:before="200" w:after="60"/>
      </w:pPr>
      <w:r>
        <w:rPr>
          <w:b/>
          <w:bCs/>
          <w:color w:val="2E4057"/>
          <w:sz w:val="24"/>
          <w:szCs w:val="24"/>
        </w:rPr>
        <w:t>REFERENCES</w:t>
      </w:r>
    </w:p>
    <w:p w14:paraId="39BAB3B6" w14:textId="77777777" w:rsidR="00093106" w:rsidRDefault="00A96FF2">
      <w:pPr>
        <w:spacing w:before="80"/>
      </w:pPr>
      <w:r>
        <w:t>Available upon request</w:t>
      </w:r>
    </w:p>
    <w:sectPr w:rsidR="0009310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1985"/>
    <w:multiLevelType w:val="hybridMultilevel"/>
    <w:tmpl w:val="FFFFFFFF"/>
    <w:lvl w:ilvl="0" w:tplc="781ADDF8">
      <w:start w:val="1"/>
      <w:numFmt w:val="bullet"/>
      <w:lvlText w:val="●"/>
      <w:lvlJc w:val="left"/>
      <w:pPr>
        <w:ind w:left="720" w:hanging="360"/>
      </w:pPr>
    </w:lvl>
    <w:lvl w:ilvl="1" w:tplc="2B3CFBC8">
      <w:start w:val="1"/>
      <w:numFmt w:val="bullet"/>
      <w:lvlText w:val="○"/>
      <w:lvlJc w:val="left"/>
      <w:pPr>
        <w:ind w:left="1440" w:hanging="360"/>
      </w:pPr>
    </w:lvl>
    <w:lvl w:ilvl="2" w:tplc="B42461D8">
      <w:start w:val="1"/>
      <w:numFmt w:val="bullet"/>
      <w:lvlText w:val="■"/>
      <w:lvlJc w:val="left"/>
      <w:pPr>
        <w:ind w:left="2160" w:hanging="360"/>
      </w:pPr>
    </w:lvl>
    <w:lvl w:ilvl="3" w:tplc="F32C9C42">
      <w:start w:val="1"/>
      <w:numFmt w:val="bullet"/>
      <w:lvlText w:val="●"/>
      <w:lvlJc w:val="left"/>
      <w:pPr>
        <w:ind w:left="2880" w:hanging="360"/>
      </w:pPr>
    </w:lvl>
    <w:lvl w:ilvl="4" w:tplc="217612CC">
      <w:start w:val="1"/>
      <w:numFmt w:val="bullet"/>
      <w:lvlText w:val="○"/>
      <w:lvlJc w:val="left"/>
      <w:pPr>
        <w:ind w:left="3600" w:hanging="360"/>
      </w:pPr>
    </w:lvl>
    <w:lvl w:ilvl="5" w:tplc="6902F4DC">
      <w:start w:val="1"/>
      <w:numFmt w:val="bullet"/>
      <w:lvlText w:val="■"/>
      <w:lvlJc w:val="left"/>
      <w:pPr>
        <w:ind w:left="4320" w:hanging="360"/>
      </w:pPr>
    </w:lvl>
    <w:lvl w:ilvl="6" w:tplc="65BEB496">
      <w:start w:val="1"/>
      <w:numFmt w:val="bullet"/>
      <w:lvlText w:val="●"/>
      <w:lvlJc w:val="left"/>
      <w:pPr>
        <w:ind w:left="5040" w:hanging="360"/>
      </w:pPr>
    </w:lvl>
    <w:lvl w:ilvl="7" w:tplc="55506E0A">
      <w:start w:val="1"/>
      <w:numFmt w:val="bullet"/>
      <w:lvlText w:val="●"/>
      <w:lvlJc w:val="left"/>
      <w:pPr>
        <w:ind w:left="5760" w:hanging="360"/>
      </w:pPr>
    </w:lvl>
    <w:lvl w:ilvl="8" w:tplc="EAB27268">
      <w:start w:val="1"/>
      <w:numFmt w:val="bullet"/>
      <w:lvlText w:val="●"/>
      <w:lvlJc w:val="left"/>
      <w:pPr>
        <w:ind w:left="6480" w:hanging="360"/>
      </w:pPr>
    </w:lvl>
  </w:abstractNum>
  <w:abstractNum w:abstractNumId="1" w15:restartNumberingAfterBreak="0">
    <w:nsid w:val="60EF05BF"/>
    <w:multiLevelType w:val="hybridMultilevel"/>
    <w:tmpl w:val="FFFFFFFF"/>
    <w:lvl w:ilvl="0" w:tplc="47FE5F08">
      <w:start w:val="1"/>
      <w:numFmt w:val="bullet"/>
      <w:lvlText w:val="•"/>
      <w:lvlJc w:val="left"/>
      <w:pPr>
        <w:ind w:left="360" w:hanging="180"/>
      </w:pPr>
    </w:lvl>
    <w:lvl w:ilvl="1" w:tplc="281ADC82">
      <w:numFmt w:val="decimal"/>
      <w:lvlText w:val=""/>
      <w:lvlJc w:val="left"/>
    </w:lvl>
    <w:lvl w:ilvl="2" w:tplc="E828E218">
      <w:numFmt w:val="decimal"/>
      <w:lvlText w:val=""/>
      <w:lvlJc w:val="left"/>
    </w:lvl>
    <w:lvl w:ilvl="3" w:tplc="5BB47A24">
      <w:numFmt w:val="decimal"/>
      <w:lvlText w:val=""/>
      <w:lvlJc w:val="left"/>
    </w:lvl>
    <w:lvl w:ilvl="4" w:tplc="4DDA1110">
      <w:numFmt w:val="decimal"/>
      <w:lvlText w:val=""/>
      <w:lvlJc w:val="left"/>
    </w:lvl>
    <w:lvl w:ilvl="5" w:tplc="0582840E">
      <w:numFmt w:val="decimal"/>
      <w:lvlText w:val=""/>
      <w:lvlJc w:val="left"/>
    </w:lvl>
    <w:lvl w:ilvl="6" w:tplc="ACFE3858">
      <w:numFmt w:val="decimal"/>
      <w:lvlText w:val=""/>
      <w:lvlJc w:val="left"/>
    </w:lvl>
    <w:lvl w:ilvl="7" w:tplc="D2BAE572">
      <w:numFmt w:val="decimal"/>
      <w:lvlText w:val=""/>
      <w:lvlJc w:val="left"/>
    </w:lvl>
    <w:lvl w:ilvl="8" w:tplc="E1EC9CB0">
      <w:numFmt w:val="decimal"/>
      <w:lvlText w:val=""/>
      <w:lvlJc w:val="left"/>
    </w:lvl>
  </w:abstractNum>
  <w:num w:numId="1" w16cid:durableId="960182568">
    <w:abstractNumId w:val="0"/>
    <w:lvlOverride w:ilvl="0">
      <w:startOverride w:val="1"/>
    </w:lvlOverride>
  </w:num>
  <w:num w:numId="2" w16cid:durableId="113420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06"/>
    <w:rsid w:val="00093106"/>
    <w:rsid w:val="001A4B14"/>
    <w:rsid w:val="00A9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F5B5B"/>
  <w15:docId w15:val="{1503349E-B899-0942-8E33-554195F1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12156075664</cp:lastModifiedBy>
  <cp:revision>2</cp:revision>
  <dcterms:created xsi:type="dcterms:W3CDTF">2026-05-16T11:40:00Z</dcterms:created>
  <dcterms:modified xsi:type="dcterms:W3CDTF">2026-05-16T11:40:00Z</dcterms:modified>
</cp:coreProperties>
</file>